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sz w:val="36"/>
        </w:rPr>
        <w:t>Mustervorlage Betriebs- bzw. Dienstvereinbarung</w:t>
      </w:r>
    </w:p>
    <w:p>
      <w:r>
        <w:rPr>
          <w:i/>
          <w:color w:val="6B7280"/>
          <w:sz w:val="20"/>
        </w:rPr>
        <w:t>zur Nutzung der innnow-Plattform für Mitarbeiter-Feedback · Stand: 28.04.2026</w:t>
      </w:r>
    </w:p>
    <w:p>
      <w:pPr>
        <w:spacing w:before="200" w:after="40"/>
      </w:pPr>
      <w:r>
        <w:rPr>
          <w:b/>
          <w:color w:val="374151"/>
          <w:sz w:val="20"/>
        </w:rPr>
        <w:t>Arbeitgeber / Einrichtung</w:t>
      </w:r>
    </w:p>
    <w:p>
      <w:pPr>
        <w:spacing w:after="120"/>
      </w:pPr>
      <w:r>
        <w:t>Name der Einrichtung: ______________________________</w:t>
      </w:r>
    </w:p>
    <w:p>
      <w:pPr>
        <w:spacing w:after="120"/>
      </w:pPr>
      <w:r>
        <w:t>Anschrift: ______________________________</w:t>
      </w:r>
    </w:p>
    <w:p>
      <w:pPr>
        <w:spacing w:after="120"/>
      </w:pPr>
      <w:r>
        <w:t>vertreten durch (Geschäftsführung / Vorstand): ______________________________</w:t>
      </w:r>
    </w:p>
    <w:p>
      <w:pPr>
        <w:spacing w:before="200" w:after="40"/>
      </w:pPr>
      <w:r>
        <w:rPr>
          <w:b/>
          <w:color w:val="374151"/>
          <w:sz w:val="20"/>
        </w:rPr>
        <w:t>Mitarbeitervertretung</w:t>
      </w:r>
    </w:p>
    <w:p>
      <w:pPr>
        <w:spacing w:after="120"/>
      </w:pPr>
      <w:r>
        <w:t>Bezeichnung (Betriebsrat / Personalrat / MAV): ______________________________</w:t>
      </w:r>
    </w:p>
    <w:p>
      <w:pPr>
        <w:spacing w:after="120"/>
      </w:pPr>
      <w:r>
        <w:t>vertreten durch (Vorsitz / Sprecher:in): ______________________________</w:t>
      </w:r>
    </w:p>
    <w:p>
      <w:pPr>
        <w:spacing w:before="120" w:after="120"/>
      </w:pPr>
      <w:r>
        <w:rPr>
          <w:color w:val="D1D5DB"/>
        </w:rPr>
        <w:t>────────────────────────────────────────────────────────────</w:t>
      </w:r>
    </w:p>
    <w:p>
      <w:pPr>
        <w:spacing w:after="120"/>
      </w:pPr>
      <w:r>
        <w:t>Auf Basis der gesetzlichen Mitbestimmungsrechte schließen die vorgenannten Parteien folgende Vereinbarung zur Einführung und Nutzung der innnow-Plattform für die strukturierte Erhebung von Mitarbeiter-Feedback zu digitalen Lösungen und Prozessen.</w:t>
      </w:r>
    </w:p>
    <w:p>
      <w:pPr>
        <w:spacing w:before="280" w:after="120"/>
      </w:pPr>
      <w:r>
        <w:rPr>
          <w:b/>
          <w:sz w:val="26"/>
        </w:rPr>
        <w:t>§ 1 Zweck und Geltungsbereich</w:t>
      </w:r>
    </w:p>
    <w:p>
      <w:pPr>
        <w:spacing w:after="120"/>
      </w:pPr>
      <w:r>
        <w:t>(1) Die innnow-Plattform dient der strukturierten Erhebung, Auswertung und Verbesserung von Anwender-Feedback der Mitarbeitenden zu in der Einrichtung eingesetzten digitalen Lösungen, Prozessen und organisatorischen Abläufen.</w:t>
      </w:r>
    </w:p>
    <w:p>
      <w:pPr>
        <w:spacing w:after="120"/>
      </w:pPr>
      <w:r>
        <w:t>(2) Die Plattform dient ausdrücklich NICHT der Verhaltens- oder Leistungskontrolle einzelner Mitarbeitender. Sie wird nicht zur arbeitsrechtlichen Bewertung individueller Beschäftigter eingesetzt.</w:t>
      </w:r>
    </w:p>
    <w:p>
      <w:pPr>
        <w:spacing w:after="120"/>
      </w:pPr>
      <w:r>
        <w:t>(3) Diese Vereinbarung gilt für alle Beschäftigten der Einrichtung, die zur Teilnahme an Befragungen über die innnow-Plattform aufgefordert werden.</w:t>
      </w:r>
    </w:p>
    <w:p>
      <w:pPr>
        <w:spacing w:after="120"/>
      </w:pPr>
      <w:r>
        <w:t>(4) Die Plattform stellt eine technische Einrichtung im Sinne des § 87 Abs. 1 Nr. 6 BetrVG dar. Eine Eignung zur Verhaltens- oder Leistungskontrolle einzelner Beschäftigter ist gegeben, wird jedoch ausdrücklich nicht zu diesem Zweck genutzt (vgl. Abs. 2).</w:t>
      </w:r>
    </w:p>
    <w:p>
      <w:pPr>
        <w:spacing w:before="280" w:after="120"/>
      </w:pPr>
      <w:r>
        <w:rPr>
          <w:b/>
          <w:sz w:val="26"/>
        </w:rPr>
        <w:t>§ 2 Beteiligte und Rollen</w:t>
      </w:r>
    </w:p>
    <w:p>
      <w:pPr>
        <w:pStyle w:val="ListBullet"/>
        <w:ind w:left="340"/>
      </w:pPr>
      <w:r>
        <w:t>Verantwortlicher (Arbeitgeber): die in der Präambel genannte Einrichtung</w:t>
      </w:r>
    </w:p>
    <w:p>
      <w:pPr>
        <w:pStyle w:val="ListBullet"/>
        <w:ind w:left="340"/>
      </w:pPr>
      <w:r>
        <w:t>Auftragsverarbeiterin (technischer Betrieb der Plattform): innnow GmbH, Bakenfeld-Aruper Str. 7, 59387 Ascheberg — auf Grundlage des zwischen Einrichtung und innnow geschlossenen Auftragsverarbeitungsvertrags (AVV) gemäß Art. 28 DSGVO</w:t>
      </w:r>
    </w:p>
    <w:p>
      <w:pPr>
        <w:pStyle w:val="ListBullet"/>
        <w:ind w:left="340"/>
      </w:pPr>
      <w:r>
        <w:t>Mitarbeitervertretung: die in der Präambel benannte Vertretung der Beschäftigten</w:t>
      </w:r>
    </w:p>
    <w:p>
      <w:pPr>
        <w:spacing w:before="280" w:after="120"/>
      </w:pPr>
      <w:r>
        <w:rPr>
          <w:b/>
          <w:sz w:val="26"/>
        </w:rPr>
        <w:t>§ 3 Welche Daten verarbeitet werden</w:t>
      </w:r>
    </w:p>
    <w:p>
      <w:pPr>
        <w:spacing w:after="120"/>
      </w:pPr>
      <w:r>
        <w:t>Die innnow-Plattform unterstützt eine pseudonyme Nutzung. Welche Identifikationsdaten konkret erfasst werden, entscheidet die Einrichtung. Erhoben werden — abhängig von der gewählten Konfiguration — folgende Datenkategorien:</w:t>
      </w:r>
    </w:p>
    <w:p>
      <w:pPr>
        <w:pStyle w:val="ListBullet"/>
        <w:ind w:left="340"/>
      </w:pPr>
      <w:r>
        <w:t>Identifikationsdaten — abhängig vom gewählten Anmeldeweg:</w:t>
      </w:r>
    </w:p>
    <w:p>
      <w:pPr>
        <w:pStyle w:val="ListBullet"/>
        <w:ind w:left="680"/>
      </w:pPr>
      <w:r>
        <w:t>a) Selbst-Registrierung über Direkt-Anmeldelink: Beschäftigte wählen einen frei wählbaren Benutzernamen. Eine persönliche E-Mail-Adresse wird nicht erhoben. Eine Rückführung des Benutzernamens auf die konkrete Person ist über die Plattform nicht möglich.</w:t>
      </w:r>
    </w:p>
    <w:p>
      <w:pPr>
        <w:pStyle w:val="ListBullet"/>
        <w:ind w:left="680"/>
      </w:pPr>
      <w:r>
        <w:t>b) Einladung durch die Einrichtung: Die einladende Stelle erfasst dienstliche E-Mail-Adresse, Vor- und Nachname zur Identifikation und für den Versand der Einladung.</w:t>
      </w:r>
    </w:p>
    <w:p>
      <w:pPr>
        <w:pStyle w:val="ListBullet"/>
        <w:ind w:left="340"/>
      </w:pPr>
      <w:r>
        <w:t>Organisationsbezogene Daten: Fachabteilung, Rolle/Funktion, Standort</w:t>
      </w:r>
    </w:p>
    <w:p>
      <w:pPr>
        <w:pStyle w:val="ListBullet"/>
        <w:ind w:left="340"/>
      </w:pPr>
      <w:r>
        <w:t>Nutzungs- und Bewertungsdaten: Antworten, Bewertungen, Priorisierungen, Freitext-Kommentare</w:t>
      </w:r>
    </w:p>
    <w:p>
      <w:pPr>
        <w:pStyle w:val="ListBullet"/>
        <w:ind w:left="340"/>
      </w:pPr>
      <w:r>
        <w:t>Technische Metadaten: Zeitpunkte der Teilnahme sowie technische Protokolldaten zur Sitzungssicherheit</w:t>
      </w:r>
    </w:p>
    <w:p>
      <w:pPr>
        <w:spacing w:after="120"/>
      </w:pPr>
      <w:r>
        <w:t>Beide Anmeldewege stehen jeder Einrichtung zur Verfügung und können kombiniert genutzt werden — beispielsweise Einladung mit dienstlicher E-Mail-Adresse für Leitungsfunktionen, Selbstregistrierung über Direkt-Anmeldelink für die breite Belegschaft. Welcher Weg eingesetzt wird, entscheidet die Einrichtung je nach Befragungs-Setup.</w:t>
      </w:r>
    </w:p>
    <w:p>
      <w:pPr>
        <w:spacing w:after="120"/>
      </w:pPr>
      <w:r>
        <w:t>Der Direkt-Anmeldelink wird je Befragung individuell generiert. Über den Link registrierte Konten sind ausschließlich der jeweiligen Einrichtung zugeordnet. Verteilung und ggf. zeitliche Befristung des Links sowie die Sicherstellung, dass nur Beschäftigte der Einrichtung Zugang erhalten, liegen in der Verantwortung der Einrichtung. Bei Verdacht auf unberechtigte Nutzung kann der Anmeldelink jederzeit deaktiviert werden.</w:t>
      </w:r>
    </w:p>
    <w:p>
      <w:pPr>
        <w:spacing w:before="280" w:after="120"/>
      </w:pPr>
      <w:r>
        <w:rPr>
          <w:b/>
          <w:sz w:val="26"/>
        </w:rPr>
        <w:t>§ 4 Welche Daten ausdrücklich NICHT verarbeitet werden</w:t>
      </w:r>
    </w:p>
    <w:p>
      <w:pPr>
        <w:spacing w:after="120"/>
      </w:pPr>
      <w:r>
        <w:t>Über die Plattform werden weder erhoben noch gespeichert:</w:t>
      </w:r>
    </w:p>
    <w:p>
      <w:pPr>
        <w:pStyle w:val="ListBullet"/>
        <w:ind w:left="340"/>
      </w:pPr>
      <w:r>
        <w:t>Patienten- oder Behandlungsdaten</w:t>
      </w:r>
    </w:p>
    <w:p>
      <w:pPr>
        <w:pStyle w:val="ListBullet"/>
        <w:ind w:left="340"/>
      </w:pPr>
      <w:r>
        <w:t>Gesundheitsdaten der Beschäftigten (z. B. Krankheitsstand, psychische Belastung als Diagnoseäquivalent)</w:t>
      </w:r>
    </w:p>
    <w:p>
      <w:pPr>
        <w:pStyle w:val="ListBullet"/>
        <w:ind w:left="340"/>
      </w:pPr>
      <w:r>
        <w:t>sonstige besondere Kategorien personenbezogener Daten gemäß Art. 9 DSGVO</w:t>
      </w:r>
    </w:p>
    <w:p>
      <w:pPr>
        <w:spacing w:after="120"/>
      </w:pPr>
      <w:r>
        <w:t>Die Einrichtung stellt durch geeignete Hinweise und Befragungsgestaltung sicher, dass solche Daten von Beschäftigten nicht in die Plattform eingegeben werden.</w:t>
      </w:r>
    </w:p>
    <w:p>
      <w:pPr>
        <w:spacing w:before="280" w:after="120"/>
      </w:pPr>
      <w:r>
        <w:rPr>
          <w:b/>
          <w:sz w:val="26"/>
        </w:rPr>
        <w:t>§ 5 Pseudonymisierung und Aggregationsschwellen</w:t>
      </w:r>
    </w:p>
    <w:p>
      <w:pPr>
        <w:spacing w:after="120"/>
      </w:pPr>
      <w:r>
        <w:t>(1) Auswertungen über die Plattform stehen sowohl in aggregierter Form als auch mit Personenbezug zur Verfügung. Zugriff auf Auswertungen erhalten die von der Einrichtung benannten Admins. Was Admins konkret sehen, hängt vom Anmeldeweg der Beschäftigten ab:</w:t>
      </w:r>
    </w:p>
    <w:p>
      <w:pPr>
        <w:pStyle w:val="ListBullet"/>
        <w:ind w:left="340"/>
      </w:pPr>
      <w:r>
        <w:t>Bei Einladungsweg (Klarname und E-Mail-Adresse vorhanden): Admins sehen die Antworten mit Klarnamen; Filterung und Detailansicht einzelner Personen ist möglich.</w:t>
      </w:r>
    </w:p>
    <w:p>
      <w:pPr>
        <w:pStyle w:val="ListBullet"/>
        <w:ind w:left="340"/>
      </w:pPr>
      <w:r>
        <w:t>Bei Selbstregistrierung (Pseudonym-Benutzername): Admins sehen den vom Beschäftigten gewählten Benutzernamen sowie die optional angegebenen organisationsbezogenen Daten (Fachabteilung, Rolle). Eine Rückführung auf eine konkrete Person ist über die Plattform nicht möglich.</w:t>
      </w:r>
    </w:p>
    <w:p>
      <w:pPr>
        <w:pStyle w:val="ListBullet"/>
        <w:ind w:left="340"/>
      </w:pPr>
      <w:r>
        <w:t>In aggregierter Sicht (Charts, Mittelwerte, Verteilungen): Auswertungen werden gruppenweise dargestellt (z. B. nach Fachabteilung, Rolle, Standort) — unabhängig vom Anmeldeweg.</w:t>
      </w:r>
    </w:p>
    <w:p>
      <w:pPr>
        <w:spacing w:after="120"/>
      </w:pPr>
      <w:r>
        <w:t>Welche Auswertungs-Tiefe für eine konkrete Befragung freigegeben wird, legt die Einrichtung gemeinsam mit der Mitarbeitervertretung in der Befragungsplanung fest (vgl. § 9). Die Einrichtung verpflichtet sich, den Zugriff auf Auswertungen auf den benannten Admin-Personenkreis zu beschränken und personenbezogene Auswertungen nicht zur Bewertung einzelner Beschäftigter zu nutzen (vgl. § 7).</w:t>
      </w:r>
    </w:p>
    <w:p>
      <w:pPr>
        <w:spacing w:after="120"/>
      </w:pPr>
      <w:r>
        <w:t>(2) Die Mindest-Aggregationsschwelle (Anzeige von Detailwerten erst ab N Antworten) wird durch die organisatorischen Maßnahmen der Einrichtung sichergestellt; eine plattformseitige automatische Schwelle ist nicht implementiert. Die Einrichtung verpflichtet sich, Auswertungen kleiner Personenkreise nicht zur Identifikation einzelner Beschäftigter zu nutzen, und sichert dies durch geeignete organisatorische Maßnahmen (Sensibilisierung der Auswertenden, interne Auswertungs-Richtlinien) ab.</w:t>
      </w:r>
    </w:p>
    <w:p>
      <w:pPr>
        <w:spacing w:after="120"/>
      </w:pPr>
      <w:r>
        <w:t>(3) Freitext-Kommentare werden — sofern in der jeweiligen Befragung erhoben — in unveränderter Form gespeichert. Die Einrichtung verpflichtet sich, Freitexte nicht zu Zwecken der Identifikation einzelner Beschäftigter auszuwerten und entsprechende Hinweise an die Beschäftigten zu kommunizieren.</w:t>
      </w:r>
    </w:p>
    <w:p>
      <w:pPr>
        <w:spacing w:before="280" w:after="120"/>
      </w:pPr>
      <w:r>
        <w:rPr>
          <w:b/>
          <w:sz w:val="26"/>
        </w:rPr>
        <w:t>§ 6 Freiwilligkeit der Teilnahme</w:t>
      </w:r>
    </w:p>
    <w:p>
      <w:pPr>
        <w:spacing w:after="120"/>
      </w:pPr>
      <w:r>
        <w:t>(1) Die Teilnahme an Befragungen über die innnow-Plattform ist freiwillig. Eine Verpflichtung zur Teilnahme besteht nicht.</w:t>
      </w:r>
    </w:p>
    <w:p>
      <w:pPr>
        <w:spacing w:after="120"/>
      </w:pPr>
      <w:r>
        <w:t>(2) Aus der Nichtteilnahme dürfen den Beschäftigten keine arbeitsrechtlichen, disziplinarischen oder sonstigen Nachteile entstehen.</w:t>
      </w:r>
    </w:p>
    <w:p>
      <w:pPr>
        <w:spacing w:after="120"/>
      </w:pPr>
      <w:r>
        <w:t>(3) Soweit beim Einladungsweg technisch nachvollziehbar ist, ob ein einzelner Beschäftigter teilgenommen hat, wird diese Information ausschließlich für den automatisierten Reminder-Versand verwendet. Eine Auswertung der Teilnahmequote bezogen auf einzelne Personen oder eine Auflistung von Nicht-Teilnehmenden findet nicht statt; eine personenbezogene Bewertung des Antwortverhaltens ist ausgeschlossen.</w:t>
      </w:r>
    </w:p>
    <w:p>
      <w:pPr>
        <w:spacing w:before="280" w:after="120"/>
      </w:pPr>
      <w:r>
        <w:rPr>
          <w:b/>
          <w:sz w:val="26"/>
        </w:rPr>
        <w:t>§ 7 Schutz vor Sanktionen aufgrund von Antwortinhalten</w:t>
      </w:r>
    </w:p>
    <w:p>
      <w:pPr>
        <w:spacing w:after="120"/>
      </w:pPr>
      <w:r>
        <w:t>(1) Den Beschäftigten dürfen aus den über die Plattform abgegebenen Antworten — insbesondere kritischen Bewertungen oder Freitext-Kommentaren — keine arbeitsrechtlichen, disziplinarischen oder sonstigen Nachteile entstehen.</w:t>
      </w:r>
    </w:p>
    <w:p>
      <w:pPr>
        <w:spacing w:after="120"/>
      </w:pPr>
      <w:r>
        <w:t>(2) Die Einrichtung stellt sicher, dass Auswertungsergebnisse ausschließlich zur Verbesserung digitaler Lösungen und Prozesse herangezogen werden und nicht zur Bewertung individueller Mitarbeitender.</w:t>
      </w:r>
    </w:p>
    <w:p>
      <w:pPr>
        <w:spacing w:before="280" w:after="120"/>
      </w:pPr>
      <w:r>
        <w:rPr>
          <w:b/>
          <w:sz w:val="26"/>
        </w:rPr>
        <w:t>§ 8 Auswertungsrechte und Berechtigte</w:t>
      </w:r>
    </w:p>
    <w:p>
      <w:pPr>
        <w:spacing w:after="120"/>
      </w:pPr>
      <w:r>
        <w:t>(1) Zugriff auf Auswertungen erfolgt abgestuft nach Detailtiefe. Die Benennung erfolgt durch die Einrichtung im Einvernehmen mit der Mitarbeitervertretung:</w:t>
      </w:r>
    </w:p>
    <w:p>
      <w:pPr>
        <w:pStyle w:val="ListBullet"/>
        <w:ind w:left="340"/>
      </w:pPr>
      <w:r>
        <w:t>Vollzugriff (personenbezogene Sicht, soweit beim Einladungsweg gesetzt): ______________________________</w:t>
      </w:r>
    </w:p>
    <w:p>
      <w:pPr>
        <w:pStyle w:val="ListBullet"/>
        <w:ind w:left="340"/>
      </w:pPr>
      <w:r>
        <w:t>Aggregierte Auswertung (gruppenweise Darstellung, keine Einzelpersonen): ______________________________</w:t>
      </w:r>
    </w:p>
    <w:p>
      <w:pPr>
        <w:spacing w:after="120"/>
      </w:pPr>
      <w:r>
        <w:t>(2) Die Mitarbeitervertretung erhält auf Anforderung ebenfalls Einsicht in die Auswertungen, soweit diese ihre Aufgaben gemäß § 80 BetrVG (bzw. einschlägigen Personalvertretungs- oder MAV-Regelungen) berühren.</w:t>
      </w:r>
    </w:p>
    <w:p>
      <w:pPr>
        <w:spacing w:after="120"/>
      </w:pPr>
      <w:r>
        <w:t>(3) Eine Auswertung über die Berechtigten hinaus, insbesondere eine Weitergabe an Dritte außerhalb der Einrichtung, erfolgt nicht.</w:t>
      </w:r>
    </w:p>
    <w:p>
      <w:pPr>
        <w:spacing w:after="120"/>
      </w:pPr>
      <w:r>
        <w:t>(4) Hiervon unberührt bleibt der für den technischen Betrieb der Plattform erforderliche Zugriff durch die innnow GmbH als Auftragsverarbeiterin. Eine routinemäßige inhaltliche Auswertung der Daten durch die innnow GmbH erfolgt nicht; der Zugriff ist auf den im AVV (Art. 28 DSGVO) geregelten Rahmen begrenzt und auf einen technischen Administratorenkreis („Superadmin"-Rolle) bei innnow beschränkt.</w:t>
      </w:r>
    </w:p>
    <w:p>
      <w:pPr>
        <w:spacing w:before="280" w:after="120"/>
      </w:pPr>
      <w:r>
        <w:rPr>
          <w:b/>
          <w:sz w:val="26"/>
        </w:rPr>
        <w:t>§ 9 Beteiligung der Mitarbeitervertretung</w:t>
      </w:r>
    </w:p>
    <w:p>
      <w:pPr>
        <w:spacing w:after="120"/>
      </w:pPr>
      <w:r>
        <w:t>(1) Die Mitarbeitervertretung wird vor jeder neuen Befragung über deren Zweck, Fragebogeninhalt und Auswertungsumfang informiert.</w:t>
      </w:r>
    </w:p>
    <w:p>
      <w:pPr>
        <w:spacing w:after="120"/>
      </w:pPr>
      <w:r>
        <w:t>(2) Bei wesentlichen Änderungen der Plattform (z. B. Aktivierung optionaler KI-Funktionen gemäß der gesonderten Zusatzvereinbarung) wird die Mitarbeitervertretung im Vorfeld beteiligt.</w:t>
      </w:r>
    </w:p>
    <w:p>
      <w:pPr>
        <w:spacing w:after="120"/>
      </w:pPr>
      <w:r>
        <w:t>(3) An der Auswertung der Ergebnisse und der Ableitung von Maßnahmen wirkt die Mitarbeitervertretung im Rahmen ihrer gesetzlichen Mitbestimmungsrechte mit.</w:t>
      </w:r>
    </w:p>
    <w:p>
      <w:pPr>
        <w:spacing w:after="120"/>
      </w:pPr>
      <w:r>
        <w:t>(4) Soweit die jeweilige Befragungsausgestaltung eine Datenschutz-Folgenabschätzung nach Art. 35 DSGVO erforderlich macht, wird diese vom Arbeitgeber unter Beteiligung des/der Datenschutzbeauftragten und der Mitarbeitervertretung durchgeführt. Die innnow GmbH unterstützt im Rahmen des AVV.</w:t>
      </w:r>
    </w:p>
    <w:p>
      <w:pPr>
        <w:spacing w:before="280" w:after="120"/>
      </w:pPr>
      <w:r>
        <w:rPr>
          <w:b/>
          <w:sz w:val="26"/>
        </w:rPr>
        <w:t>§ 10 Speicherdauer und Löschung</w:t>
      </w:r>
    </w:p>
    <w:p>
      <w:pPr>
        <w:spacing w:after="120"/>
      </w:pPr>
      <w:r>
        <w:t>(1) Personenbezogene Daten werden so lange gespeichert, wie es zur Erfüllung der Zwecke erforderlich ist. Spätestens 30 Tage nach Beendigung des Vertrages zwischen der Einrichtung und der innnow GmbH werden alle personenbezogenen Daten gelöscht.</w:t>
      </w:r>
    </w:p>
    <w:p>
      <w:pPr>
        <w:spacing w:after="120"/>
      </w:pPr>
      <w:r>
        <w:t>(2) Auf Wunsch der Einrichtung kann vor der Löschung ein Export aggregierter, nicht personenbezogener Auswertungsergebnisse bereitgestellt werden. Diese verbleiben in der Einrichtung und können für interne Verbesserungsprozesse weitergenutzt werden. Eine Weiternutzung durch die innnow GmbH findet nicht statt.</w:t>
      </w:r>
    </w:p>
    <w:p>
      <w:pPr>
        <w:spacing w:after="120"/>
      </w:pPr>
      <w:r>
        <w:t>(3) Einzelheiten zur Löschung regelt § 10 des AVV.</w:t>
      </w:r>
    </w:p>
    <w:p>
      <w:pPr>
        <w:spacing w:before="280" w:after="120"/>
      </w:pPr>
      <w:r>
        <w:rPr>
          <w:b/>
          <w:sz w:val="26"/>
        </w:rPr>
        <w:t>§ 11 Rechte der Beschäftigten</w:t>
      </w:r>
    </w:p>
    <w:p>
      <w:pPr>
        <w:spacing w:after="120"/>
      </w:pPr>
      <w:r>
        <w:t>Den Beschäftigten stehen die in der Datenschutzinformation für Plattform-Nutzerinnen und Nutzer (vgl. innnow.de/datenschutz-plattform) beschriebenen Rechte zu, insbesondere:</w:t>
      </w:r>
    </w:p>
    <w:p>
      <w:pPr>
        <w:pStyle w:val="ListBullet"/>
        <w:ind w:left="340"/>
      </w:pPr>
      <w:r>
        <w:t>Recht auf Auskunft (Art. 15 DSGVO)</w:t>
      </w:r>
    </w:p>
    <w:p>
      <w:pPr>
        <w:pStyle w:val="ListBullet"/>
        <w:ind w:left="340"/>
      </w:pPr>
      <w:r>
        <w:t>Recht auf Berichtigung (Art. 16 DSGVO)</w:t>
      </w:r>
    </w:p>
    <w:p>
      <w:pPr>
        <w:pStyle w:val="ListBullet"/>
        <w:ind w:left="340"/>
      </w:pPr>
      <w:r>
        <w:t>Recht auf Löschung (Art. 17 DSGVO)</w:t>
      </w:r>
    </w:p>
    <w:p>
      <w:pPr>
        <w:pStyle w:val="ListBullet"/>
        <w:ind w:left="340"/>
      </w:pPr>
      <w:r>
        <w:t>Recht auf Einschränkung der Verarbeitung (Art. 18 DSGVO)</w:t>
      </w:r>
    </w:p>
    <w:p>
      <w:pPr>
        <w:pStyle w:val="ListBullet"/>
        <w:ind w:left="340"/>
      </w:pPr>
      <w:r>
        <w:t>Recht auf Datenübertragbarkeit (Art. 20 DSGVO)</w:t>
      </w:r>
    </w:p>
    <w:p>
      <w:pPr>
        <w:pStyle w:val="ListBullet"/>
        <w:ind w:left="340"/>
      </w:pPr>
      <w:r>
        <w:t>Recht auf Widerspruch (Art. 21 DSGVO)</w:t>
      </w:r>
    </w:p>
    <w:p>
      <w:pPr>
        <w:pStyle w:val="ListBullet"/>
        <w:ind w:left="340"/>
      </w:pPr>
      <w:r>
        <w:t>Beschwerderecht bei der zuständigen Aufsichtsbehörde</w:t>
      </w:r>
    </w:p>
    <w:p>
      <w:pPr>
        <w:spacing w:after="120"/>
      </w:pPr>
      <w:r>
        <w:t>Anfragen zur Wahrnehmung dieser Rechte (insbesondere zum Datenexport gemäß Art. 20 DSGVO) sind an die/den Datenschutzbeauftragte/n der Einrichtung zu richten: ______________________________</w:t>
      </w:r>
    </w:p>
    <w:p>
      <w:pPr>
        <w:spacing w:after="120"/>
      </w:pPr>
      <w:r>
        <w:t>Ein Self-Service-Export einzelner Beschäftigter über die Plattform ist derzeit nicht implementiert; die innnow GmbH unterstützt die Einrichtung bei der technischen Umsetzung entsprechender Anfragen im Rahmen des AVV.</w:t>
      </w:r>
    </w:p>
    <w:p>
      <w:pPr>
        <w:spacing w:before="280" w:after="120"/>
      </w:pPr>
      <w:r>
        <w:rPr>
          <w:b/>
          <w:sz w:val="26"/>
        </w:rPr>
        <w:t>§ 12 KI-Funktionen (optional)</w:t>
      </w:r>
    </w:p>
    <w:p>
      <w:pPr>
        <w:spacing w:after="120"/>
      </w:pPr>
      <w:r>
        <w:t>(1) Die innnow-Plattform bietet optionale KI-gestützte Funktionen, insbesondere automatische Vorschläge zur Kategorisierung (Tagging) von Freitext-Kommentaren. Diese Funktionen sind standardmäßig deaktiviert.</w:t>
      </w:r>
    </w:p>
    <w:p>
      <w:pPr>
        <w:spacing w:after="120"/>
      </w:pPr>
      <w:r>
        <w:t>(2) Eine Aktivierung der KI-Funktionen erfolgt durch die Einrichtung erst nach Unterzeichnung der gesonderten Zusatzvereinbarung KI-Funktionen (vgl. innnow.de/avv-ki-zusatz) und nach Beteiligung der Mitarbeitervertretung gemäß § 9 dieser Vereinbarung.</w:t>
      </w:r>
    </w:p>
    <w:p>
      <w:pPr>
        <w:spacing w:after="120"/>
      </w:pPr>
      <w:r>
        <w:t>(3) Die KI-Verarbeitung erfolgt pseudonym: An den KI-Dienst werden ausschließlich der Freitext-Kommentar und die in der Einrichtung gepflegte Tag-Liste übermittelt — weder Daten zur Identifikation einzelner Mitarbeitender noch Daten, die der Einrichtung zugeordnet werden können. Eine automatisierte Entscheidungsfindung im Sinne des Art. 22 DSGVO findet nicht statt.</w:t>
      </w:r>
    </w:p>
    <w:p>
      <w:pPr>
        <w:spacing w:after="120"/>
      </w:pPr>
      <w:r>
        <w:t>(4) Die Aktivierung der KI-Funktionen unterliegt dem Beratungsrecht der Mitarbeitervertretung gemäß § 90 BetrVG sowie der Mitbestimmung nach § 87 Abs. 1 Nr. 6 BetrVG, soweit eine Eignung zur Verhaltens- oder Leistungskontrolle einzelner Beschäftigter im Einzelfall betroffen ist.</w:t>
      </w:r>
    </w:p>
    <w:p>
      <w:pPr>
        <w:spacing w:before="280" w:after="120"/>
      </w:pPr>
      <w:r>
        <w:rPr>
          <w:b/>
          <w:sz w:val="26"/>
        </w:rPr>
        <w:t>§ 13 Inkrafttreten, Laufzeit, Kündigung</w:t>
      </w:r>
    </w:p>
    <w:p>
      <w:pPr>
        <w:spacing w:after="120"/>
      </w:pPr>
      <w:r>
        <w:t>(1) Diese Vereinbarung tritt am ______________________________ in Kraft.</w:t>
      </w:r>
    </w:p>
    <w:p>
      <w:pPr>
        <w:spacing w:after="120"/>
      </w:pPr>
      <w:r>
        <w:t>(2) Sie wird auf unbestimmte Zeit geschlossen und kann von beiden Parteien mit einer Frist von drei Monaten zum Quartalsende gekündigt werden.</w:t>
      </w:r>
    </w:p>
    <w:p>
      <w:pPr>
        <w:spacing w:after="120"/>
      </w:pPr>
      <w:r>
        <w:t>(3) Bei Beendigung des Hauptvertrags zwischen Einrichtung und innnow GmbH endet diese Vereinbarung automatisch mit Wirksamkeit der Vertragsbeendigung. Die Pflichten zur Datenlöschung gemäß § 10 dieser Vereinbarung sowie § 10 des AVV gelten fort.</w:t>
      </w:r>
    </w:p>
    <w:p>
      <w:pPr>
        <w:spacing w:after="120"/>
      </w:pPr>
      <w:r>
        <w:t>(4) Bis zum Wirksamwerden einer ablösenden Vereinbarung wirkt diese Vereinbarung im Rahmen des § 77 Abs. 6 BetrVG nach, soweit ein mitbestimmungspflichtiger Sachverhalt betroffen ist.</w:t>
      </w:r>
    </w:p>
    <w:p>
      <w:pPr>
        <w:spacing w:before="280" w:after="120"/>
      </w:pPr>
      <w:r>
        <w:rPr>
          <w:b/>
          <w:sz w:val="26"/>
        </w:rPr>
        <w:t>§ 14 Schlussbestimmungen</w:t>
      </w:r>
    </w:p>
    <w:p>
      <w:pPr>
        <w:spacing w:after="120"/>
      </w:pPr>
      <w:r>
        <w:t>(1) Änderungen und Ergänzungen dieser Vereinbarung bedürfen der Schriftform.</w:t>
      </w:r>
    </w:p>
    <w:p>
      <w:pPr>
        <w:spacing w:after="120"/>
      </w:pPr>
      <w:r>
        <w:t>(2) Sollten einzelne Bestimmungen dieser Vereinbarung ganz oder teilweise unwirksam sein oder werden, bleibt die Wirksamkeit der übrigen Bestimmungen unberührt.</w:t>
      </w:r>
    </w:p>
    <w:p>
      <w:pPr>
        <w:spacing w:after="120"/>
      </w:pPr>
      <w:r>
        <w:t>(3) Vertragssprache ist Deutsch.</w:t>
      </w:r>
    </w:p>
    <w:p>
      <w:pPr>
        <w:spacing w:before="120" w:after="120"/>
      </w:pPr>
      <w:r>
        <w:rPr>
          <w:color w:val="D1D5DB"/>
        </w:rPr>
        <w:t>────────────────────────────────────────────────────────────</w:t>
      </w:r>
    </w:p>
    <w:p>
      <w:pPr>
        <w:spacing w:before="280" w:after="120"/>
      </w:pPr>
      <w:r>
        <w:rPr>
          <w:b/>
          <w:sz w:val="26"/>
        </w:rPr>
        <w:t>Unterzeichnung</w:t>
      </w:r>
    </w:p>
    <w:p>
      <w:pPr>
        <w:spacing w:after="120"/>
      </w:pPr>
      <w:r>
        <w:t>Ort, Datum: ______________________________</w:t>
      </w:r>
    </w:p>
    <w:p>
      <w:pPr>
        <w:spacing w:after="120"/>
      </w:pPr>
    </w:p>
    <w:p>
      <w:pPr>
        <w:spacing w:after="120"/>
      </w:pPr>
    </w:p>
    <w:tbl>
      <w:tblPr>
        <w:tblW w:type="auto" w:w="0"/>
        <w:tblLayout w:type="autofit"/>
        <w:tblLook w:firstColumn="1" w:firstRow="1" w:lastColumn="0" w:lastRow="0" w:noHBand="0" w:noVBand="1" w:val="04A0"/>
      </w:tblPr>
      <w:tblGrid>
        <w:gridCol w:w="4703"/>
        <w:gridCol w:w="4703"/>
      </w:tblGrid>
      <w:tr>
        <w:tc>
          <w:tcPr>
            <w:tcW w:type="dxa" w:w="4703"/>
          </w:tcPr>
          <w:p>
            <w:r/>
            <w:r>
              <w:rPr>
                <w:b/>
              </w:rPr>
              <w:t>Für die Einrichtung</w:t>
            </w:r>
          </w:p>
          <w:p>
            <w:r>
              <w:br/>
              <w:br/>
              <w:t>______________________________</w:t>
            </w:r>
          </w:p>
          <w:p>
            <w:r>
              <w:t>Name, Funktion</w:t>
            </w:r>
          </w:p>
        </w:tc>
        <w:tc>
          <w:tcPr>
            <w:tcW w:type="dxa" w:w="4703"/>
          </w:tcPr>
          <w:p>
            <w:r/>
            <w:r>
              <w:rPr>
                <w:b/>
              </w:rPr>
              <w:t>Für die Mitarbeitervertretung</w:t>
            </w:r>
          </w:p>
          <w:p>
            <w:r>
              <w:br/>
              <w:br/>
              <w:t>______________________________</w:t>
            </w:r>
          </w:p>
          <w:p>
            <w:r>
              <w:t>Name, Funktion</w:t>
            </w:r>
          </w:p>
        </w:tc>
      </w:tr>
    </w:tbl>
    <w:p>
      <w:pPr>
        <w:spacing w:before="120" w:after="120"/>
      </w:pPr>
      <w:r>
        <w:rPr>
          <w:color w:val="D1D5DB"/>
        </w:rPr>
        <w:t>────────────────────────────────────────────────────────────</w:t>
      </w:r>
    </w:p>
    <w:p>
      <w:pPr>
        <w:spacing w:after="120"/>
      </w:pPr>
      <w:r>
        <w:t>Diese Mustervorlage wurde von der innnow GmbH zur Unterstützung ihrer Klinik-Kunden erstellt. Die innnow GmbH ist nicht Vertragspartei der konkreten Betriebs- bzw. Dienstvereinbarung. Rückfragen zur fachlichen Umsetzung an datenschutz@innnow.de.</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